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tbl>
      <w:tblPr>
        <w:tblW w:w="9030" w:type="dxa"/>
        <w:tblBorders>
          <w:top w:val="single" w:color="ffd699" w:sz="12"/>
          <w:start w:color="ffd699" w:sz="12" w:val="single"/>
          <w:left w:val="single"/>
          <w:bottom w:val="single" w:color="ffd699" w:sz="12"/>
          <w:end w:color="ffd699" w:sz="12" w:val="single"/>
          <w:right w:val="single"/>
          <w:insideH w:val="single" w:color="ffd699" w:sz="12"/>
          <w:insideV w:val="single" w:color="ffd699" w:sz="12"/>
        </w:tblBorders>
      </w:tblPr>
      <w:tblGrid>
        <w:gridCol w:w="3010"/>
        <w:gridCol w:w="2942"/>
        <w:gridCol w:w="3077"/>
      </w:tblGrid>
      <w:tr>
        <w:tc>
          <w:tcPr>
            <w:tcW w:w="9030" w:type="dxa"/>
            <w:gridSpan w:val="3"/>
            <w:shd w:val="clear" w:color="auto" w:fill="ffd699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ffffff"/>
                <w:sz w:val="24"/>
                <w:szCs w:val="24"/>
              </w:rPr>
              <w:t xml:space="preserve">Facturation familles Périscolaire, Centre de loisirs, Jeunesse.
</w:t>
            </w:r>
          </w:p>
        </w:tc>
      </w:tr>
      <w:tr>
        <w:tc>
          <w:tcPr>
            <w:tcW w:w="3010" w:type="dxa"/>
            <w:shd w:val="clear" w:color="auto" w:fill="ffd699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ffffff"/>
                <w:sz w:val="24"/>
                <w:szCs w:val="24"/>
              </w:rPr>
              <w:t>Mois de présences</w:t>
            </w:r>
            <w:r>
              <w:rPr>
                <w:rFonts w:ascii="Open Sans Bold" w:hAnsi="Open Sans Bold" w:cs="Open Sans Bold" w:eastAsia="Open Sans Bold"/>
                <w:b/>
                <w:bCs/>
                <w:color w:val="ffffff"/>
                <w:sz w:val="24"/>
                <w:szCs w:val="24"/>
              </w:rPr>
              <w:t xml:space="preserve">
</w:t>
            </w:r>
          </w:p>
        </w:tc>
        <w:tc>
          <w:tcPr>
            <w:tcW w:w="2942" w:type="dxa"/>
            <w:shd w:val="clear" w:color="auto" w:fill="ffd699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ffffff"/>
                <w:sz w:val="24"/>
                <w:szCs w:val="24"/>
              </w:rPr>
              <w:t xml:space="preserve">Date de diffusion de la facture </w:t>
            </w:r>
            <w:r>
              <w:rPr>
                <w:rFonts w:ascii="Open Sans Bold" w:hAnsi="Open Sans Bold" w:cs="Open Sans Bold" w:eastAsia="Open Sans Bold"/>
                <w:b/>
                <w:bCs/>
                <w:color w:val="ffffff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shd w:val="clear" w:color="auto" w:fill="ffd699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ffffff"/>
                <w:sz w:val="24"/>
                <w:szCs w:val="24"/>
              </w:rPr>
              <w:t xml:space="preserve">Date de prélèvement 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pen Sans Bold" w:hAnsi="Open Sans Bold" w:cs="Open Sans Bold" w:eastAsia="Open Sans Bold"/>
                <w:b/>
                <w:bCs/>
                <w:color w:val="ffffff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Janvier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21/02/2025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06/03/2025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Février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21/03/2025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07/04/2025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Mars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22/04/2025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07/05/2025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Avril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20/05/2025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07/06/2025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Mai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20/06/2025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10/07/2025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Juin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22/07/2025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08/08/2025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Juillet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22/08/2025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08/09/2025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Août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22/09/2025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07/10/2025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Septembre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22/10/2025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07/11/2025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Octobre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22/11/2025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08/12/2025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Novembre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22/12/2025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07/01/2026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Décembre
</w:t>
            </w:r>
          </w:p>
        </w:tc>
        <w:tc>
          <w:tcPr>
            <w:tcW w:w="2942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22/01/2025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77" w:type="dxa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09/02/2026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3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u w:val="single" w:color="000000"/>
              </w:rPr>
              <w:t xml:space="preserve">Montant de facturation :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Une facturation sera émises pour un montant supérieur à 15€ si montant inférieur cela sera reporté sur la facture du mois suivant.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u w:val="single" w:color="000000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u w:val="single" w:color="000000"/>
              </w:rPr>
              <w:t xml:space="preserve">Paiement à réception :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 Paiement entre la date de diffusion et la date de prélèvement .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u w:val="single" w:color="000000"/>
              </w:rPr>
              <w:t>Moyens de paiements :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  Payfip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u w:val="single" w:color="000000"/>
              </w:rPr>
              <w:t xml:space="preserve">,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Espèces, chèque bancaire ou postal à l’ordre du Service de Gestion Comptable, chèques vacances ( seulement pour les ALSH), CESU.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  <w:u w:val="single" w:color="000000"/>
              </w:rPr>
              <w:t xml:space="preserve">Paiements et Renseignements concernant le règlement :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S’adresser au Service de Gestion Comptable de Pontchâteau 5 place de l’église 44160 Pontchâteau-Tel:02.40.01.61.08.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Open Sans Ultra-Bold Italics">
    <w:panose1 w:val="00000000000000000000"/>
    <w:charset w:characterSet="1"/>
    <w:embedBoldItalic r:id="rId5"/>
  </w:font>
  <w:font w:name="Open Sans Light">
    <w:panose1 w:val="020B0306030504020204"/>
    <w:charset w:characterSet="1"/>
    <w:embedRegular r:id="rId6"/>
  </w:font>
  <w:font w:name="Open Sans Italics">
    <w:panose1 w:val="020B0606030504020204"/>
    <w:charset w:characterSet="1"/>
    <w:embedItalic r:id="rId7"/>
  </w:font>
  <w:font w:name="Open Sans Bold Italics">
    <w:panose1 w:val="020B0806030504020204"/>
    <w:charset w:characterSet="1"/>
    <w:embedBoldItalic r:id="rId8"/>
  </w:font>
  <w:font w:name="Open Sans Ultra-Bold">
    <w:panose1 w:val="00000000000000000000"/>
    <w:charset w:characterSet="1"/>
    <w:embedBold r:id="rId9"/>
  </w:font>
  <w:font w:name="Open Sans Bold">
    <w:panose1 w:val="020B0806030504020204"/>
    <w:charset w:characterSet="1"/>
    <w:embedBold r:id="rId10"/>
  </w:font>
  <w:font w:name="Open Sans">
    <w:panose1 w:val="020B0606030504020204"/>
    <w:charset w:characterSet="1"/>
    <w:embedRegular r:id="rId11"/>
  </w:font>
  <w:font w:name="Open Sans Light Italics">
    <w:panose1 w:val="020B0306030504020204"/>
    <w:charset w:characterSet="1"/>
    <w:embedItalic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2025-01-10T07:56:34Z</dcterms:created>
  <dc:creator>Apache POI</dc:creator>
</cp:coreProperties>
</file>